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Sundsvall kommunfullmäktige</w:t>
      </w:r>
    </w:p>
    <w:p>
      <w:pPr>
        <w:pStyle w:val="Heading1"/>
      </w:pPr>
      <w:r>
        <w:t xml:space="preserve">Förenkla bygglovsprocesser för företag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Liberalerna i Sundsvall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Sundsvall rankas 142 av 290 kommuner i Svenskt Näringslivs företagsklimat 2025. Långa handläggningstider för bygglov hämmar etableringar i Birsta och Norra Kajen. Enklare regler kan öka antalet nya jobb.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Liberalerna i Sundsvall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införa digital bygglovsansökan med 30 dagars handläggningsgaranti från 2027.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kommunfullmäktige beslutar att tillsätta en näringslivslots för snabb hantering av företagsärenden.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kommunfullmäktige beslutar att minska antalet krav i detaljplaner för verksamhetsområden.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kommunfullmäktige beslutar att årligen redovisa handläggningstider till kommunstyrelsen.</w:t>
      </w:r>
    </w:p>
    <w:p>
      <w:pPr>
        <w:spacing w:before="360"/>
      </w:pPr>
    </w:p>
    <w:p>
      <w:r>
        <w:t xml:space="preserve">Sundsvall,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Liberalerna i Sundsvall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2026-07-14T05:11:31.000Z</dcterms:created>
  <dcterms:modified xsi:type="dcterms:W3CDTF">2026-07-14T05:11:31.000Z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